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سمونية</w:t>
      </w:r>
    </w:p>
    <w:p>
      <w:pPr>
        <w:pStyle w:val="rtlJustify"/>
      </w:pPr>
      <w:r>
        <w:rPr>
          <w:rFonts w:ascii="Traditional Arabic" w:hAnsi="Traditional Arabic" w:eastAsia="Traditional Arabic" w:cs="Traditional Arabic"/>
          <w:sz w:val="28"/>
          <w:szCs w:val="28"/>
          <w:rtl/>
        </w:rPr>
        <w:t xml:space="preserve">من قرى قضاء الناصرة، تبعد إلى الغرب منها بمقدار 13 كم، وتقع في الطرف الشمالي لسهل مرج ابن عامر عند أقدام جبال الجليل الأدنى على ارتفاع 125 م عن سطح البحر. وقد باعت الحكومة العثمانية عام 1860م أراضيها إلى بعض تجار بيروت، فباعوها للصهاينة الذين أقاموا “معبرة شيمرون” غرب موقع القرية العربية عام 1948. وقد انقلبت المعبرة عام 1951 إلى كيبوتز.</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موقع ذاكرات: القرى المندثرة قبل عام 1948</w:t>
      </w:r>
    </w:p>
    <w:p>
      <w:pPr>
        <w:pStyle w:val="rtlJustify"/>
      </w:pPr>
      <w:r>
        <w:rPr>
          <w:rFonts w:ascii="Traditional Arabic" w:hAnsi="Traditional Arabic" w:eastAsia="Traditional Arabic" w:cs="Traditional Arabic"/>
          <w:sz w:val="28"/>
          <w:szCs w:val="28"/>
          <w:rtl/>
        </w:rPr>
        <w:t xml:space="preserve">https://www.zochrot.org/publication_articles/view/56400/ar?%D8%A7%D9%84%D9%82%D8%B1%D9%89_%D8%A7%D9%84%D8%B9%D8%B1%D8%A8%D9%8A%D8%A9_%D8%A7%D9%84%D9%85%D9%86%D8%AF%D8%AB%D8%B1%D8%A9_%D9%82%D8%A8%D9%84_%D8%B9%D8%A7%D9%85_</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2026-04-16T21:38:23+00:00</dcterms:created>
  <dcterms:modified xsi:type="dcterms:W3CDTF">2026-04-16T21:38:23+00:00</dcterms:modified>
</cp:coreProperties>
</file>

<file path=docProps/custom.xml><?xml version="1.0" encoding="utf-8"?>
<Properties xmlns="http://schemas.openxmlformats.org/officeDocument/2006/custom-properties" xmlns:vt="http://schemas.openxmlformats.org/officeDocument/2006/docPropsVTypes"/>
</file>