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زِيبَادْ-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مرتفعة يبلغ ارتفاعها حوالي 300 م عن مستوى سطح البحر، جنوب شرقي مدينة طولكرم وعلى مسافة 17 كم عنها.</w:t>
      </w:r>
    </w:p>
    <w:p>
      <w:pPr>
        <w:pStyle w:val="rtlJustify"/>
      </w:pPr>
      <w:r>
        <w:rPr>
          <w:rFonts w:ascii="Traditional Arabic" w:hAnsi="Traditional Arabic" w:eastAsia="Traditional Arabic" w:cs="Traditional Arabic"/>
          <w:sz w:val="28"/>
          <w:szCs w:val="28"/>
          <w:rtl/>
        </w:rPr>
        <w:t xml:space="preserve">تبلغ مساحة أراضي كفر زيباد حوالي 7085 دونم.</w:t>
      </w:r>
    </w:p>
    <w:p>
      <w:pPr>
        <w:pStyle w:val="rtlJustify"/>
      </w:pPr>
      <w:r>
        <w:rPr>
          <w:rFonts w:ascii="Traditional Arabic" w:hAnsi="Traditional Arabic" w:eastAsia="Traditional Arabic" w:cs="Traditional Arabic"/>
          <w:sz w:val="28"/>
          <w:szCs w:val="28"/>
          <w:rtl/>
        </w:rPr>
        <w:t xml:space="preserve">احتلت كفر زيباد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زيباد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تزرع فيها الأشجار المثمرة كالزيتون.</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يعتمد سكان القرية على التعليم وتعتبر نسبة التعليم بالقرية من أعلى النسب في فلسطين، ويعمل معظم سكانها بالوظائف الحكومية والقطاع الخاص بالإضافة إلى اعتماد جزء منها على الزراعة والحرف الصناعية.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أيضاً ثلاث مساجد احداها مسجد بني في عهد الانتداب البريطاني ومدرسة ابتدائية وإعدادية وثانوية كاملة، وفيها مركز صحية كاملة، ومركز لرعاية الأمومة والطفولة ومقسم هاتف ومركز شرطة ونادي رياضي وصيدلية.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وبلغ عدد سكانها عام 1922 حوالي 260 نسمة ارتفع إلى 1590 نسمة عام 1945، وبلغ عدد سكانها عام 1967 بعد الاحتلال حوالي 555 نسمة ارتفع إلى 787 نسمة عام 1987 و 1500 نسمة عام 2006 وفيها مجلس قروي يدير شؤونها الإدارية والتنظيمية.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2026-04-18T00:28:01+00:00</dcterms:created>
  <dcterms:modified xsi:type="dcterms:W3CDTF">2026-04-18T00:28:01+00:00</dcterms:modified>
</cp:coreProperties>
</file>

<file path=docProps/custom.xml><?xml version="1.0" encoding="utf-8"?>
<Properties xmlns="http://schemas.openxmlformats.org/officeDocument/2006/custom-properties" xmlns:vt="http://schemas.openxmlformats.org/officeDocument/2006/docPropsVTypes"/>
</file>