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امريش</w:t>
      </w:r>
    </w:p>
    <w:p>
      <w:pPr>
        <w:pStyle w:val="rtlJustify"/>
      </w:pPr>
      <w:r>
        <w:rPr>
          <w:rFonts w:ascii="Traditional Arabic" w:hAnsi="Traditional Arabic" w:eastAsia="Traditional Arabic" w:cs="Traditional Arabic"/>
          <w:sz w:val="28"/>
          <w:szCs w:val="28"/>
          <w:rtl/>
        </w:rPr>
        <w:t xml:space="preserve">إمريش</w:t>
      </w:r>
    </w:p>
    <w:p>
      <w:pPr>
        <w:pStyle w:val="rtlJustify"/>
      </w:pPr>
      <w:r>
        <w:rPr>
          <w:rFonts w:ascii="Traditional Arabic" w:hAnsi="Traditional Arabic" w:eastAsia="Traditional Arabic" w:cs="Traditional Arabic"/>
          <w:sz w:val="28"/>
          <w:szCs w:val="28"/>
          <w:rtl/>
        </w:rPr>
        <w:t xml:space="preserve">تقع قرية إمريش على بعد 12 كم جنوب غرب مدينة الخليل، وترتفع عن سطح البحر حوالي 750 م، وتبلغ مساحة المنطقة المبنية فيها 200 دونم، وتحيط بها أراضي دورا، ويزرع أهالي القرية الخضراوات، والزيتون، والعنب، والتين، واللوزيات، وغيرها. ويتم التزود بالمياه من خلال الاعتماد على آبار جمع مياه الأمطار. يبلغ عدد سكان القرية 1213 نسمة حسب تقديرات الجهاز المركزي للإحصـاء الفلسطيني للعام 2004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59 مبنى، منها 24 مبنى تتكون من طابق واحد، أي ما يعادل 41 % من مجموع المباني العام.</w:t>
      </w:r>
    </w:p>
    <w:p>
      <w:pPr>
        <w:pStyle w:val="rtlJustify"/>
      </w:pPr>
      <w:r>
        <w:rPr>
          <w:rFonts w:ascii="Traditional Arabic" w:hAnsi="Traditional Arabic" w:eastAsia="Traditional Arabic" w:cs="Traditional Arabic"/>
          <w:sz w:val="28"/>
          <w:szCs w:val="28"/>
          <w:rtl/>
        </w:rPr>
        <w:t xml:space="preserve">وصفت الحالة الإنشائية لـ 31 مبنى بأنها متوسطة، أي ما نسبته 53 % من مجموع المباني العام، إضافة إلى وجود 13 مبنى بحالة جيدة ( 22 %)، و 9 مبانٍ غير صالحة للاستعمال ( 15 %)، و 6 مبانٍ بحالة سيئة ( 10 %). أما الحالة الفيزيائية للمباني، فقط أظهرت أن هناك 35 مبنى بحالة متوسطة، أي ما يعادل 59 % من مجموع المباني العام، علاوة على وجود 18 مبنى بحالة سيئة ( 31 %)، و 5 مبانٍ بحالة جيدة ( 8 %).</w:t>
      </w:r>
    </w:p>
    <w:p>
      <w:pPr>
        <w:pStyle w:val="rtlJustify"/>
      </w:pPr>
      <w:r>
        <w:rPr>
          <w:rFonts w:ascii="Traditional Arabic" w:hAnsi="Traditional Arabic" w:eastAsia="Traditional Arabic" w:cs="Traditional Arabic"/>
          <w:sz w:val="28"/>
          <w:szCs w:val="28"/>
          <w:rtl/>
        </w:rPr>
        <w:t xml:space="preserve">وفيما يتعلق بمدى الاستخدام، لوحظ أن هناك 24 مبنى مهجورة، وهو ما يعادل 41 % من إجمالي عدد المباني، إلى جانب وجود 23 مبنى مستخدمة بشكل جزئي ( 39 %)، و 12 مبنى مستخدمة بشكل كلي ( 20 %).</w:t>
      </w:r>
    </w:p>
    <w:p>
      <w:pPr>
        <w:pStyle w:val="rtlJustify"/>
      </w:pPr>
      <w:r>
        <w:rPr>
          <w:rFonts w:ascii="Traditional Arabic" w:hAnsi="Traditional Arabic" w:eastAsia="Traditional Arabic" w:cs="Traditional Arabic"/>
          <w:sz w:val="28"/>
          <w:szCs w:val="28"/>
          <w:rtl/>
        </w:rPr>
        <w:t xml:space="preserve">غلب الشكل المستوي على أسطح معظم المباني القديمة في القرية، حيث ظهر استخدامه في أسطح 35 مبنى، وهذا يشكل 48 % من إجمالي عدد الأبنية، في حين استخدم الشكل شبه الكروي في أسطح 23 مبنى ( 32 %)، والشكل المفلطح في أسطح 4 مبانٍ ( 5 %)، بينما اقتصر استخدام الشكل الجملوني القرميدي على سطح مبنى واحد فقط، ووجد سطح مبنى واحد مهدماً.</w:t>
      </w:r>
    </w:p>
    <w:p>
      <w:pPr>
        <w:pStyle w:val="rtlJustify"/>
      </w:pPr>
      <w:r>
        <w:rPr>
          <w:rFonts w:ascii="Traditional Arabic" w:hAnsi="Traditional Arabic" w:eastAsia="Traditional Arabic" w:cs="Traditional Arabic"/>
          <w:sz w:val="28"/>
          <w:szCs w:val="28"/>
          <w:rtl/>
        </w:rPr>
        <w:t xml:space="preserve">تعددت وتنوعت أشكال الأسقف في مباني القرية القديمة، فظهر استخدام الشكل الصخري غير المنتظم في أسقف 32 مبنى، وهو ما يعادل 49 % من إجمالي عدد المباني، في حين اسـتخدم العقد المتقاطع في أسقف 24 مبنى ( 37 %)، والشكل المستوي في أسقف 3 مبانٍ ( 5 %)، واستخدم كل من العقد نصف البرميلي وشكل القبة في سقفي مبنيين ( 3 %) لكل منهما، واقتصر استخدام الشكل المستوي بدعامات خشبية على سقف مبنى واحد فقط، كما وجد سقف مبنى واحد مهدماً.</w:t>
      </w:r>
    </w:p>
    <w:p>
      <w:pPr>
        <w:pStyle w:val="rtlJustify"/>
      </w:pPr>
      <w:r>
        <w:rPr>
          <w:rFonts w:ascii="Traditional Arabic" w:hAnsi="Traditional Arabic" w:eastAsia="Traditional Arabic" w:cs="Traditional Arabic"/>
          <w:sz w:val="28"/>
          <w:szCs w:val="28"/>
          <w:rtl/>
        </w:rPr>
        <w:t xml:space="preserve">غلبت المدة على أرضيات معظم المباني القديمة في القرية، حيث ظهر استخدامها في أرضيات 54 مبنى، وهو ما يعادل 70 % من إجمالي عدد الأبنية، في حين استخدمت الأرضية الصخرية في 21 مبنى ( 27 %)، والأرضية الترابية في مبنيين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اﻟﺪراﺑﻴﻊ.</w:t>
      </w:r>
    </w:p>
    <w:p>
      <w:pPr>
        <w:pStyle w:val="rtlJustify"/>
      </w:pPr>
      <w:r>
        <w:rPr>
          <w:rFonts w:ascii="Traditional Arabic" w:hAnsi="Traditional Arabic" w:eastAsia="Traditional Arabic" w:cs="Traditional Arabic"/>
          <w:sz w:val="28"/>
          <w:szCs w:val="28"/>
          <w:rtl/>
        </w:rPr>
        <w:t xml:space="preserve">2- اﻟﺸﻌﺮاو ي.</w:t>
      </w:r>
    </w:p>
    <w:p>
      <w:pPr>
        <w:pStyle w:val="rtlJustify"/>
      </w:pPr>
      <w:r>
        <w:rPr>
          <w:rFonts w:ascii="Traditional Arabic" w:hAnsi="Traditional Arabic" w:eastAsia="Traditional Arabic" w:cs="Traditional Arabic"/>
          <w:sz w:val="28"/>
          <w:szCs w:val="28"/>
          <w:rtl/>
        </w:rPr>
        <w:t xml:space="preserve">3- دودﻳﻦ.</w:t>
      </w:r>
    </w:p>
    <w:p>
      <w:pPr>
        <w:pStyle w:val="rtlJustify"/>
      </w:pPr>
      <w:r>
        <w:rPr>
          <w:rFonts w:ascii="Traditional Arabic" w:hAnsi="Traditional Arabic" w:eastAsia="Traditional Arabic" w:cs="Traditional Arabic"/>
          <w:sz w:val="28"/>
          <w:szCs w:val="28"/>
          <w:rtl/>
        </w:rPr>
        <w:t xml:space="preserve">4- ﺷﺎهﻴﻦ.</w:t>
      </w:r>
    </w:p>
    <w:p>
      <w:pPr>
        <w:pStyle w:val="rtlJustify"/>
      </w:pPr>
      <w:r>
        <w:rPr>
          <w:rFonts w:ascii="Traditional Arabic" w:hAnsi="Traditional Arabic" w:eastAsia="Traditional Arabic" w:cs="Traditional Arabic"/>
          <w:sz w:val="28"/>
          <w:szCs w:val="28"/>
          <w:rtl/>
        </w:rPr>
        <w:t xml:space="preserve">5- ﻗﺰاز .</w:t>
      </w:r>
    </w:p>
    <w:p>
      <w:pPr>
        <w:pStyle w:val="rtlJustify"/>
      </w:pPr>
      <w:r>
        <w:rPr>
          <w:rFonts w:ascii="Traditional Arabic" w:hAnsi="Traditional Arabic" w:eastAsia="Traditional Arabic" w:cs="Traditional Arabic"/>
          <w:sz w:val="28"/>
          <w:szCs w:val="28"/>
          <w:rtl/>
        </w:rPr>
        <w:t xml:space="preserve">6- أﺑﻮ ﻋﻔﻴﻔﺎن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هي قرية فلسطينية تتبع دورا بمحافظة الخليل ، تقع جنوب غرب مدينة الخليل على بعد 10 كم منها ، يحدها من الشرق كرمة ومن الشمال قرية خرسا ومن الغرب قرية الصرة</w:t>
      </w:r>
    </w:p>
    <w:p>
      <w:pPr>
        <w:pStyle w:val="rtlJustify"/>
      </w:pPr>
      <w:r>
        <w:rPr>
          <w:rFonts w:ascii="Traditional Arabic" w:hAnsi="Traditional Arabic" w:eastAsia="Traditional Arabic" w:cs="Traditional Arabic"/>
          <w:sz w:val="28"/>
          <w:szCs w:val="28"/>
          <w:rtl/>
        </w:rPr>
        <w:t xml:space="preserve"> ومن الجنوب كرزه وأبو العسجا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1262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2026-06-17T11:30:38+00:00</dcterms:created>
  <dcterms:modified xsi:type="dcterms:W3CDTF">2026-06-17T11:30:38+00:00</dcterms:modified>
</cp:coreProperties>
</file>

<file path=docProps/custom.xml><?xml version="1.0" encoding="utf-8"?>
<Properties xmlns="http://schemas.openxmlformats.org/officeDocument/2006/custom-properties" xmlns:vt="http://schemas.openxmlformats.org/officeDocument/2006/docPropsVTypes"/>
</file>