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1" w:name="_Toc1"/><w:r><w:t>السكان</w:t></w:r><w:bookmarkEnd w:id="1"/></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2" w:name="_Toc2"/><w:r><w:t>الثروة الزراعية</w:t></w:r><w:bookmarkEnd w:id="2"/></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3" w:name="_Toc3"/><w:r><w:t>المهن والحرف والصناعة</w:t></w:r><w:bookmarkEnd w:id="3"/></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4" w:name="_Toc4"/><w:r><w:t>غزة فترة الانتداب البريطاني</w:t></w:r><w:bookmarkEnd w:id="4"/></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دلول.عائلة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العكي.عائلة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7" w:name="_Toc7"/><w:r><w:t>أهمية الموقع</w:t></w:r><w:bookmarkEnd w:id="7"/></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8" w:name="_Toc8"/><w:r><w:t>غزة وقراها خلال حرب 1948</w:t></w:r><w:bookmarkEnd w:id="8"/></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2026-03-23T14:10:25+00:00</dcterms:created>
  <dcterms:modified xsi:type="dcterms:W3CDTF">2026-03-23T14:10:25+00:00</dcterms:modified>
</cp:coreProperties>
</file>

<file path=docProps/custom.xml><?xml version="1.0" encoding="utf-8"?>
<Properties xmlns="http://schemas.openxmlformats.org/officeDocument/2006/custom-properties" xmlns:vt="http://schemas.openxmlformats.org/officeDocument/2006/docPropsVTypes"/>
</file>