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النَّاعِمَة</w:t>
      </w:r>
    </w:p>
    <w:p>
      <w:pPr>
        <w:pStyle w:val="rtlJustify"/>
      </w:pPr>
      <w:r>
        <w:rPr>
          <w:rFonts w:ascii="Traditional Arabic" w:hAnsi="Traditional Arabic" w:eastAsia="Traditional Arabic" w:cs="Traditional Arabic"/>
          <w:sz w:val="28"/>
          <w:szCs w:val="28"/>
          <w:rtl/>
        </w:rPr>
        <w:t xml:space="preserve">قرية فلسطينية مزالة، كانت قائمة فوق رقعة مستوية من الأرض، في الشطر الشمالي الغربي من سهل الحولة، شمال شرقي مدينة صفد وعلى مسافة 26 كم عنها، بارتفاع يبلغ 75م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القرية بـ 7155 دنم، شغلت منازل وأبنية القرية ما مساحته 112 دونم.</w:t>
      </w:r>
    </w:p>
    <w:p>
      <w:pPr>
        <w:pStyle w:val="rtlJustify"/>
      </w:pPr>
      <w:r>
        <w:rPr>
          <w:rFonts w:ascii="Traditional Arabic" w:hAnsi="Traditional Arabic" w:eastAsia="Traditional Arabic" w:cs="Traditional Arabic"/>
          <w:sz w:val="28"/>
          <w:szCs w:val="28"/>
          <w:rtl/>
        </w:rPr>
        <w:t xml:space="preserve">احتلت الناعمة مع جملة ما احتل من القرى في سياق عملية "يفتاح" وذلك يوم 11 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قرية الناعمة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الزوق التحتاني شمالاً.قرية لزازة تليها قرية قيطية من الشمال الشرقي.قرية الدوارة شرقاً.قرية الصالحية من الجنوب الشرقي.قرية الزواية/ الزوية جنوباً.قرية البويزية من الجنوب الغربي.الأراضي اللبنانية غرباً.قرية الخالصة من الشمال الغربي.</w:t>
      </w:r>
    </w:p>
    <w:p/>
    <w:p>
      <w:pPr>
        <w:pStyle w:val="Heading2"/>
      </w:pPr>
      <w:bookmarkStart w:id="1" w:name="_Toc1"/>
      <w:r>
        <w:t>الحياة الاقتصادية</w:t>
      </w:r>
      <w:bookmarkEnd w:id="1"/>
    </w:p>
    <w:p>
      <w:pPr>
        <w:pStyle w:val="rtlJustify"/>
      </w:pPr>
      <w:r>
        <w:rPr>
          <w:rFonts w:ascii="Traditional Arabic" w:hAnsi="Traditional Arabic" w:eastAsia="Traditional Arabic" w:cs="Traditional Arabic"/>
          <w:sz w:val="28"/>
          <w:szCs w:val="28"/>
          <w:rtl/>
        </w:rPr>
        <w:t xml:space="preserve">اعتمد اقتصاد القرية على عائدات ممارسة بعض الأنشطة الاقتصادية أهمها الزراعة، تربية الماشية، عمليات التبادل التجاري مع القرى والبلدات المجاورة، خصوصاً وأنها كانت على مقربة كبيرة جداً من الأراضي اللبنانية.</w:t>
      </w:r>
    </w:p>
    <w:p/>
    <w:p>
      <w:pPr>
        <w:pStyle w:val="Heading2"/>
      </w:pPr>
      <w:bookmarkStart w:id="2" w:name="_Toc2"/>
      <w:r>
        <w:t>الثروة الزراعية</w:t>
      </w:r>
      <w:bookmarkEnd w:id="2"/>
    </w:p>
    <w:p>
      <w:pPr>
        <w:pStyle w:val="rtlJustify"/>
      </w:pPr>
      <w:r>
        <w:rPr>
          <w:rFonts w:ascii="Traditional Arabic" w:hAnsi="Traditional Arabic" w:eastAsia="Traditional Arabic" w:cs="Traditional Arabic"/>
          <w:sz w:val="28"/>
          <w:szCs w:val="28"/>
          <w:rtl/>
        </w:rPr>
        <w:t xml:space="preserve">قدرت مساحة أراضي القرية الصالحة للزراعة بـ 4278 دونم، توزعت كالتالي:</w:t>
      </w:r>
    </w:p>
    <w:p>
      <w:pPr>
        <w:pStyle w:val="rtlJustify"/>
      </w:pPr>
      <w:r>
        <w:rPr>
          <w:rFonts w:ascii="Traditional Arabic" w:hAnsi="Traditional Arabic" w:eastAsia="Traditional Arabic" w:cs="Traditional Arabic"/>
          <w:sz w:val="28"/>
          <w:szCs w:val="28"/>
          <w:rtl/>
        </w:rPr>
        <w:t xml:space="preserve">4122 دونم: خصصت لزراعة البساتين المروية.</w:t>
      </w:r>
    </w:p>
    <w:p>
      <w:pPr>
        <w:pStyle w:val="rtlJustify"/>
      </w:pPr>
      <w:r>
        <w:rPr>
          <w:rFonts w:ascii="Traditional Arabic" w:hAnsi="Traditional Arabic" w:eastAsia="Traditional Arabic" w:cs="Traditional Arabic"/>
          <w:sz w:val="28"/>
          <w:szCs w:val="28"/>
          <w:rtl/>
        </w:rPr>
        <w:t xml:space="preserve">156 دونم: خصصت لزراعة الحبوب.</w:t>
      </w:r>
    </w:p>
    <w:p>
      <w:pPr>
        <w:pStyle w:val="rtlJustify"/>
      </w:pPr>
      <w:r>
        <w:rPr>
          <w:rFonts w:ascii="Traditional Arabic" w:hAnsi="Traditional Arabic" w:eastAsia="Traditional Arabic" w:cs="Traditional Arabic"/>
          <w:sz w:val="28"/>
          <w:szCs w:val="28"/>
          <w:rtl/>
        </w:rPr>
        <w:t xml:space="preserve">وقد تنوعت المحاصيل المزروعة في أراضي القرية </w:t>
      </w:r>
    </w:p>
    <w:p>
      <w:pPr>
        <w:pStyle w:val="rtlJustify"/>
      </w:pPr>
      <w:r>
        <w:rPr>
          <w:rFonts w:ascii="Traditional Arabic" w:hAnsi="Traditional Arabic" w:eastAsia="Traditional Arabic" w:cs="Traditional Arabic"/>
          <w:sz w:val="28"/>
          <w:szCs w:val="28"/>
          <w:rtl/>
        </w:rPr>
        <w:t xml:space="preserve">الحبوب: قمح، شعير، ...الخ</w:t>
      </w:r>
    </w:p>
    <w:p>
      <w:pPr>
        <w:pStyle w:val="rtlJustify"/>
      </w:pPr>
      <w:r>
        <w:rPr>
          <w:rFonts w:ascii="Traditional Arabic" w:hAnsi="Traditional Arabic" w:eastAsia="Traditional Arabic" w:cs="Traditional Arabic"/>
          <w:sz w:val="28"/>
          <w:szCs w:val="28"/>
          <w:rtl/>
        </w:rPr>
        <w:t xml:space="preserve">الخضراوات: كوسا، خيار، بندورة، باذنجان وغيرها من المحاصيل.</w:t>
      </w:r>
    </w:p>
    <w:p/>
    <w:p>
      <w:pPr>
        <w:pStyle w:val="Heading2"/>
      </w:pPr>
      <w:bookmarkStart w:id="3" w:name="_Toc3"/>
      <w:r>
        <w:t>الطرق والمواصلات</w:t>
      </w:r>
      <w:bookmarkEnd w:id="3"/>
    </w:p>
    <w:p>
      <w:pPr>
        <w:pStyle w:val="rtlJustify"/>
      </w:pPr>
      <w:r>
        <w:rPr>
          <w:rFonts w:ascii="Traditional Arabic" w:hAnsi="Traditional Arabic" w:eastAsia="Traditional Arabic" w:cs="Traditional Arabic"/>
          <w:sz w:val="28"/>
          <w:szCs w:val="28"/>
          <w:rtl/>
        </w:rPr>
        <w:t xml:space="preserve">كانت هناك طريق فرعية معبدة تصلها بقرية الخالصة، وبالطريق العام المفضي إلى مدينتي صفد وطبرية. </w:t>
      </w:r>
    </w:p>
    <w:p>
      <w:pPr>
        <w:pStyle w:val="rtlJustify"/>
      </w:pPr>
      <w:r>
        <w:rPr>
          <w:rFonts w:ascii="Traditional Arabic" w:hAnsi="Traditional Arabic" w:eastAsia="Traditional Arabic" w:cs="Traditional Arabic"/>
          <w:sz w:val="28"/>
          <w:szCs w:val="28"/>
          <w:rtl/>
        </w:rPr>
        <w:t xml:space="preserve">أما باقي الطرق التي تربط القرية بالقرى الأخرى فهي ترابية غير معبدة.</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الناعمة عام 1931 بـ 858 نسمة كانوا جميعهم من العرب المسلمين ولهم 174 منزلاً.</w:t>
      </w:r>
    </w:p>
    <w:p>
      <w:pPr>
        <w:pStyle w:val="rtlJustify"/>
      </w:pPr>
      <w:r>
        <w:rPr>
          <w:rFonts w:ascii="Traditional Arabic" w:hAnsi="Traditional Arabic" w:eastAsia="Traditional Arabic" w:cs="Traditional Arabic"/>
          <w:sz w:val="28"/>
          <w:szCs w:val="28"/>
          <w:rtl/>
        </w:rPr>
        <w:t xml:space="preserve">ارتفع عددهم في إحصائيات عام 1945 إلى 1240 نسمة من بينهم 210 يهودي.</w:t>
      </w:r>
    </w:p>
    <w:p>
      <w:pPr>
        <w:pStyle w:val="rtlJustify"/>
      </w:pPr>
      <w:r>
        <w:rPr>
          <w:rFonts w:ascii="Traditional Arabic" w:hAnsi="Traditional Arabic" w:eastAsia="Traditional Arabic" w:cs="Traditional Arabic"/>
          <w:sz w:val="28"/>
          <w:szCs w:val="28"/>
          <w:rtl/>
        </w:rPr>
        <w:t xml:space="preserve">وفي عام 1948 انخفض عددهم إلى 1195 نسمة منهم 210 يهودي، ولهم 242 منزلاً.</w:t>
      </w:r>
    </w:p>
    <w:p>
      <w:pPr>
        <w:pStyle w:val="rtlJustify"/>
      </w:pPr>
      <w:r>
        <w:rPr>
          <w:rFonts w:ascii="Traditional Arabic" w:hAnsi="Traditional Arabic" w:eastAsia="Traditional Arabic" w:cs="Traditional Arabic"/>
          <w:sz w:val="28"/>
          <w:szCs w:val="28"/>
          <w:rtl/>
        </w:rPr>
        <w:t xml:space="preserve">قدر عدد اللاجئين من أبناء القرية عام 1998بـ 7337 نسمة.</w:t>
      </w:r>
    </w:p>
    <w:p/>
    <w:p>
      <w:pPr>
        <w:pStyle w:val="Heading2"/>
      </w:pPr>
      <w:bookmarkStart w:id="5" w:name="_Toc5"/>
      <w:r>
        <w:t>عائلات القرية وعشائرها</w:t>
      </w:r>
      <w:bookmarkEnd w:id="5"/>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عائلة أيوب- موسى.عائلة سليمان.عائلة حمود.عائلة شبلي.عائلة مرعي.عائلة مصطفى- معتوق.عائلة حجاج.عائلة المحمد.عائلة اليوسف.عائلة خضير.عائلة الجراد- العبسية.عائلة رحيل.عائلة دخلول.عائلة عبد الرزاق.عائلة نمر.عائلة العلي.عائلة مشيرفة.عائلة علي.عائلة سعد.عائلة الجرايدة.عائلة حمد.عائلة دحويش.عائلة الصالح.عائلة السعيد- المرعي.عائلة الحسن.عائلة أميوني.عائلة الصغير.</w:t>
      </w:r>
    </w:p>
    <w:p/>
    <w:p>
      <w:pPr>
        <w:pStyle w:val="Heading2"/>
      </w:pPr>
      <w:bookmarkStart w:id="6" w:name="_Toc6"/>
      <w:r>
        <w:t>الباحث والمراجع</w:t>
      </w:r>
      <w:bookmarkEnd w:id="6"/>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الأول- القسم الأول". دار الهدى. كفر قرع. ط 1991. ص: 163.دباغ، مصطفى. "بلادنا فلسطين- الجزء السادس- القسم الثاني". دار الهدى. كفر قرع. ط 1991. ص: 31- 32- 36- 46- 71- 150- 153- 154- 155- 156- 157- 158- 161- 247- 253.عراف، شكري. "المواقع الجغرافية في فلسطين الأسماء العربية والتسميات العبرية". مؤسسة الدراسات الفلسطينية: بيروت. 2004. ص: 508.الخالدي، وليد. "كي لاننسى قرى فلسطين التي دمرتها إسرائيل عام 1948 وأسماء شهدائها". مؤسسة الدراسات الفلسطينية: بيروت. 2001. ص: 375- 376.أ.ملز B.A.O.B.B. "إحصاء نفوس فلسطين لسنة 1931". (1932). القدس: مطبعتي دير الروم كولدبرك. ص: 109."إحصاء نفوس فلسطين عام 1945". وثيقة رسمية بريطانية. 1945. ص: 10."قرى صفد المدمرة". وكالة وفا للأنباء والمعلومات. ب.ت. ص: 83- 84.صايغ، أنيس. "بلدانية فلسطين المحلتة (1948-1967)". منظمة التحرير الفلسطينية- مركز الأبحاث: بيروت. 1968. ص: 323.العباسي، مصطفى. "صفد في عهد الانتداب البريطاني 1917-1948 دراسة اجتماعية وسياسية". مؤسسة الدراسات الفلسطينية: بيروت. ط1. 2005. ص: 212- 241- 252."قرية الناعمة- قضاء صفد". موقع فلسطين في الذاكرة. تمت المشاهدة بتاريخ: 12-6-2023.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2026-07-28T19:02:22+00:00</dcterms:created>
  <dcterms:modified xsi:type="dcterms:W3CDTF">2026-07-28T19:02:22+00:00</dcterms:modified>
</cp:coreProperties>
</file>

<file path=docProps/custom.xml><?xml version="1.0" encoding="utf-8"?>
<Properties xmlns="http://schemas.openxmlformats.org/officeDocument/2006/custom-properties" xmlns:vt="http://schemas.openxmlformats.org/officeDocument/2006/docPropsVTypes"/>
</file>